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756EB" w:rsidRDefault="00D756EB" w:rsidP="00D756EB">
      <w:pPr>
        <w:spacing w:after="0"/>
        <w:textAlignment w:val="baseline"/>
        <w:outlineLvl w:val="0"/>
        <w:rPr>
          <w:rFonts w:ascii="Tahoma" w:hAnsi="Tahoma"/>
          <w:b/>
          <w:bCs/>
          <w:color w:val="003B71"/>
          <w:kern w:val="36"/>
          <w:sz w:val="29"/>
          <w:szCs w:val="29"/>
          <w:bdr w:val="none" w:sz="0" w:space="0" w:color="auto" w:frame="1"/>
        </w:rPr>
      </w:pPr>
      <w:r w:rsidRPr="00D756EB">
        <w:rPr>
          <w:rFonts w:ascii="Tahoma" w:hAnsi="Tahoma"/>
          <w:b/>
          <w:bCs/>
          <w:color w:val="003B71"/>
          <w:kern w:val="36"/>
          <w:sz w:val="29"/>
          <w:szCs w:val="29"/>
          <w:bdr w:val="none" w:sz="0" w:space="0" w:color="auto" w:frame="1"/>
        </w:rPr>
        <w:t>GFI Group is Broker of The Year in Annual Commodities Business Awards</w:t>
      </w:r>
    </w:p>
    <w:p w:rsidR="00D756EB" w:rsidRPr="00D756EB" w:rsidRDefault="00D756EB" w:rsidP="00D756EB">
      <w:pPr>
        <w:spacing w:after="0"/>
        <w:textAlignment w:val="baseline"/>
        <w:outlineLvl w:val="0"/>
        <w:rPr>
          <w:rFonts w:ascii="Tahoma" w:hAnsi="Tahoma"/>
          <w:b/>
          <w:bCs/>
          <w:color w:val="003B71"/>
          <w:kern w:val="36"/>
        </w:rPr>
      </w:pPr>
    </w:p>
    <w:p w:rsidR="00D756EB" w:rsidRDefault="00D756EB" w:rsidP="00D756EB">
      <w:pPr>
        <w:spacing w:after="0" w:line="439" w:lineRule="atLeast"/>
        <w:textAlignment w:val="baseline"/>
        <w:outlineLvl w:val="3"/>
        <w:rPr>
          <w:rFonts w:ascii="Tahoma" w:hAnsi="Tahoma"/>
          <w:color w:val="6699CC"/>
          <w:sz w:val="29"/>
          <w:szCs w:val="29"/>
          <w:bdr w:val="none" w:sz="0" w:space="0" w:color="auto" w:frame="1"/>
        </w:rPr>
      </w:pPr>
      <w:r w:rsidRPr="00D756EB">
        <w:rPr>
          <w:rFonts w:ascii="Tahoma" w:hAnsi="Tahoma"/>
          <w:color w:val="6699CC"/>
          <w:sz w:val="29"/>
          <w:szCs w:val="29"/>
          <w:bdr w:val="none" w:sz="0" w:space="0" w:color="auto" w:frame="1"/>
        </w:rPr>
        <w:t xml:space="preserve">Mon, 29 Nov 2010 </w:t>
      </w:r>
    </w:p>
    <w:p w:rsidR="00D756EB" w:rsidRPr="00D756EB" w:rsidRDefault="00D756EB" w:rsidP="00D756EB">
      <w:pPr>
        <w:spacing w:after="0" w:line="439" w:lineRule="atLeast"/>
        <w:textAlignment w:val="baseline"/>
        <w:outlineLvl w:val="3"/>
        <w:rPr>
          <w:rFonts w:ascii="Tahoma" w:hAnsi="Tahoma"/>
          <w:color w:val="6699CC"/>
          <w:sz w:val="29"/>
          <w:szCs w:val="29"/>
        </w:rPr>
      </w:pPr>
    </w:p>
    <w:p w:rsidR="00211E26" w:rsidRPr="009F6377" w:rsidRDefault="00D756EB" w:rsidP="009F6377">
      <w:pPr>
        <w:spacing w:after="0" w:line="256" w:lineRule="atLeast"/>
        <w:jc w:val="both"/>
        <w:textAlignment w:val="baseline"/>
        <w:rPr>
          <w:rFonts w:ascii="Tahoma" w:hAnsi="Tahoma" w:cs="Times New Roman"/>
          <w:b/>
          <w:color w:val="003B71"/>
          <w:sz w:val="20"/>
        </w:rPr>
      </w:pPr>
      <w:r w:rsidRPr="009F6377">
        <w:rPr>
          <w:rFonts w:ascii="Tahoma" w:hAnsi="Tahoma" w:cs="Times New Roman"/>
          <w:b/>
          <w:color w:val="003B71"/>
          <w:sz w:val="20"/>
        </w:rPr>
        <w:t xml:space="preserve">GFI and subsidiaries </w:t>
      </w:r>
      <w:proofErr w:type="spellStart"/>
      <w:r w:rsidRPr="009F6377">
        <w:rPr>
          <w:rFonts w:ascii="Tahoma" w:hAnsi="Tahoma" w:cs="Times New Roman"/>
          <w:b/>
          <w:color w:val="003B71"/>
          <w:sz w:val="20"/>
        </w:rPr>
        <w:t>Amerex</w:t>
      </w:r>
      <w:proofErr w:type="spellEnd"/>
      <w:r w:rsidRPr="009F6377">
        <w:rPr>
          <w:rFonts w:ascii="Tahoma" w:hAnsi="Tahoma" w:cs="Times New Roman"/>
          <w:b/>
          <w:color w:val="003B71"/>
          <w:sz w:val="20"/>
        </w:rPr>
        <w:t xml:space="preserve">, </w:t>
      </w:r>
      <w:proofErr w:type="spellStart"/>
      <w:r w:rsidRPr="009F6377">
        <w:rPr>
          <w:rFonts w:ascii="Tahoma" w:hAnsi="Tahoma" w:cs="Times New Roman"/>
          <w:b/>
          <w:color w:val="003B71"/>
          <w:sz w:val="20"/>
        </w:rPr>
        <w:t>Trayport</w:t>
      </w:r>
      <w:proofErr w:type="spellEnd"/>
      <w:r w:rsidRPr="009F6377">
        <w:rPr>
          <w:rFonts w:ascii="Tahoma" w:hAnsi="Tahoma" w:cs="Times New Roman"/>
          <w:b/>
          <w:color w:val="003B71"/>
          <w:sz w:val="20"/>
        </w:rPr>
        <w:t xml:space="preserve"> and </w:t>
      </w:r>
      <w:proofErr w:type="spellStart"/>
      <w:r w:rsidRPr="009F6377">
        <w:rPr>
          <w:rFonts w:ascii="Tahoma" w:hAnsi="Tahoma" w:cs="Times New Roman"/>
          <w:b/>
          <w:color w:val="003B71"/>
          <w:sz w:val="20"/>
        </w:rPr>
        <w:t>StarSupply</w:t>
      </w:r>
      <w:proofErr w:type="spellEnd"/>
      <w:r w:rsidRPr="009F6377">
        <w:rPr>
          <w:rFonts w:ascii="Tahoma" w:hAnsi="Tahoma" w:cs="Times New Roman"/>
          <w:b/>
          <w:color w:val="003B71"/>
          <w:sz w:val="20"/>
        </w:rPr>
        <w:t xml:space="preserve"> voted best by market practitioners</w:t>
      </w:r>
    </w:p>
    <w:p w:rsidR="00D756EB" w:rsidRPr="009F6377" w:rsidRDefault="00D756EB" w:rsidP="009F6377">
      <w:pPr>
        <w:spacing w:after="0" w:line="256" w:lineRule="atLeast"/>
        <w:jc w:val="both"/>
        <w:textAlignment w:val="baseline"/>
        <w:rPr>
          <w:rFonts w:ascii="Tahoma" w:hAnsi="Tahoma" w:cs="Times New Roman"/>
          <w:b/>
          <w:color w:val="003B71"/>
          <w:sz w:val="20"/>
        </w:rPr>
      </w:pPr>
    </w:p>
    <w:p w:rsidR="004C12D3" w:rsidRPr="009F6377" w:rsidRDefault="00D756EB" w:rsidP="009F6377">
      <w:pPr>
        <w:spacing w:after="0" w:line="256" w:lineRule="atLeast"/>
        <w:jc w:val="both"/>
        <w:textAlignment w:val="baseline"/>
        <w:rPr>
          <w:rFonts w:ascii="Tahoma" w:hAnsi="Tahoma" w:cs="Times New Roman"/>
          <w:color w:val="4D4D4F"/>
          <w:sz w:val="20"/>
        </w:rPr>
      </w:pPr>
      <w:r w:rsidRPr="009F6377">
        <w:rPr>
          <w:rFonts w:ascii="Tahoma" w:hAnsi="Tahoma" w:cs="Times New Roman"/>
          <w:color w:val="4D4D4F"/>
          <w:sz w:val="20"/>
        </w:rPr>
        <w:t xml:space="preserve">New York, November 29, 2010 - GFI Group, Inc (NYSE: “GFIG”) has been voted Commodity Broker of the Year 2010 by </w:t>
      </w:r>
      <w:r w:rsidR="004C12D3" w:rsidRPr="009F6377">
        <w:rPr>
          <w:rFonts w:ascii="Tahoma" w:hAnsi="Tahoma" w:cs="Times New Roman"/>
          <w:color w:val="4D4D4F"/>
          <w:sz w:val="20"/>
        </w:rPr>
        <w:t>‘</w:t>
      </w:r>
      <w:r w:rsidRPr="009F6377">
        <w:rPr>
          <w:rFonts w:ascii="Tahoma" w:hAnsi="Tahoma" w:cs="Times New Roman"/>
          <w:color w:val="4D4D4F"/>
          <w:sz w:val="20"/>
        </w:rPr>
        <w:t>Commodities Now</w:t>
      </w:r>
      <w:r w:rsidR="004C12D3" w:rsidRPr="009F6377">
        <w:rPr>
          <w:rFonts w:ascii="Tahoma" w:hAnsi="Tahoma" w:cs="Times New Roman"/>
          <w:color w:val="4D4D4F"/>
          <w:sz w:val="20"/>
        </w:rPr>
        <w:t>’</w:t>
      </w:r>
      <w:r w:rsidRPr="009F6377">
        <w:rPr>
          <w:rFonts w:ascii="Tahoma" w:hAnsi="Tahoma" w:cs="Times New Roman"/>
          <w:color w:val="4D4D4F"/>
          <w:sz w:val="20"/>
        </w:rPr>
        <w:t xml:space="preserve"> magazine in this year’s </w:t>
      </w:r>
    </w:p>
    <w:p w:rsidR="004C12D3" w:rsidRPr="009F6377" w:rsidRDefault="00D756EB" w:rsidP="009F6377">
      <w:pPr>
        <w:spacing w:after="0" w:line="256" w:lineRule="atLeast"/>
        <w:jc w:val="both"/>
        <w:textAlignment w:val="baseline"/>
        <w:rPr>
          <w:rFonts w:ascii="Tahoma" w:hAnsi="Tahoma" w:cs="Times New Roman"/>
          <w:color w:val="4D4D4F"/>
          <w:sz w:val="20"/>
        </w:rPr>
      </w:pPr>
      <w:r w:rsidRPr="009F6377">
        <w:rPr>
          <w:rFonts w:ascii="Tahoma" w:hAnsi="Tahoma" w:cs="Times New Roman"/>
          <w:color w:val="4D4D4F"/>
          <w:sz w:val="20"/>
        </w:rPr>
        <w:t xml:space="preserve">Commodity Business Awards. </w:t>
      </w:r>
    </w:p>
    <w:p w:rsidR="00D756EB" w:rsidRPr="009F6377" w:rsidRDefault="00D756EB" w:rsidP="009F6377">
      <w:pPr>
        <w:spacing w:after="0" w:line="256" w:lineRule="atLeast"/>
        <w:jc w:val="both"/>
        <w:textAlignment w:val="baseline"/>
        <w:rPr>
          <w:rFonts w:ascii="Tahoma" w:hAnsi="Tahoma" w:cs="Times New Roman"/>
          <w:color w:val="4D4D4F"/>
          <w:sz w:val="20"/>
          <w:szCs w:val="29"/>
          <w:bdr w:val="none" w:sz="0" w:space="0" w:color="auto" w:frame="1"/>
        </w:rPr>
      </w:pPr>
    </w:p>
    <w:p w:rsidR="00D756EB" w:rsidRPr="009F6377" w:rsidRDefault="00D756EB" w:rsidP="009F6377">
      <w:pPr>
        <w:spacing w:after="0" w:line="256" w:lineRule="atLeast"/>
        <w:jc w:val="both"/>
        <w:textAlignment w:val="baseline"/>
        <w:rPr>
          <w:rFonts w:ascii="Tahoma" w:hAnsi="Tahoma" w:cs="Times New Roman"/>
          <w:color w:val="4D4D4F"/>
          <w:sz w:val="20"/>
        </w:rPr>
      </w:pPr>
      <w:r w:rsidRPr="009F6377">
        <w:rPr>
          <w:rFonts w:ascii="Tahoma" w:hAnsi="Tahoma" w:cs="Times New Roman"/>
          <w:color w:val="4D4D4F"/>
          <w:sz w:val="20"/>
          <w:szCs w:val="18"/>
          <w:bdr w:val="none" w:sz="0" w:space="0" w:color="auto" w:frame="1"/>
        </w:rPr>
        <w:t>Commodity Broker Award of the Year 2010 is presented to the traditional (non-position taking) commodities broker that has shown consistent innovation and product development over the last twelve months.</w:t>
      </w:r>
      <w:r w:rsidR="004C12D3" w:rsidRPr="009F6377">
        <w:rPr>
          <w:rFonts w:ascii="Tahoma" w:hAnsi="Tahoma" w:cs="Times New Roman"/>
          <w:color w:val="4D4D4F"/>
          <w:sz w:val="20"/>
          <w:szCs w:val="18"/>
          <w:bdr w:val="none" w:sz="0" w:space="0" w:color="auto" w:frame="1"/>
        </w:rPr>
        <w:t xml:space="preserve"> </w:t>
      </w:r>
      <w:r w:rsidR="004C12D3" w:rsidRPr="009F6377">
        <w:rPr>
          <w:rFonts w:ascii="Tahoma" w:hAnsi="Tahoma" w:cs="Times New Roman"/>
          <w:color w:val="4D4D4F"/>
          <w:sz w:val="20"/>
        </w:rPr>
        <w:t>GFI is a leading provider of wholesale brokerage, clearing services, electronic execution, and trading support products for global financial markets.</w:t>
      </w:r>
    </w:p>
    <w:p w:rsidR="00D756EB" w:rsidRPr="009F6377" w:rsidRDefault="00D756EB" w:rsidP="009F6377">
      <w:pPr>
        <w:spacing w:after="0" w:line="256" w:lineRule="atLeast"/>
        <w:jc w:val="both"/>
        <w:textAlignment w:val="baseline"/>
        <w:rPr>
          <w:rFonts w:ascii="Tahoma" w:hAnsi="Tahoma" w:cs="Times New Roman"/>
          <w:color w:val="4D4D4F"/>
          <w:sz w:val="20"/>
          <w:szCs w:val="18"/>
          <w:bdr w:val="none" w:sz="0" w:space="0" w:color="auto" w:frame="1"/>
        </w:rPr>
      </w:pPr>
    </w:p>
    <w:p w:rsidR="00D756EB" w:rsidRPr="009F6377" w:rsidRDefault="00D756EB" w:rsidP="009F6377">
      <w:pPr>
        <w:spacing w:after="0" w:line="256" w:lineRule="atLeast"/>
        <w:jc w:val="both"/>
        <w:textAlignment w:val="baseline"/>
        <w:rPr>
          <w:rFonts w:ascii="Tahoma" w:hAnsi="Tahoma" w:cs="Times New Roman"/>
          <w:color w:val="4D4D4F"/>
          <w:sz w:val="20"/>
          <w:szCs w:val="18"/>
          <w:bdr w:val="none" w:sz="0" w:space="0" w:color="auto" w:frame="1"/>
        </w:rPr>
      </w:pPr>
      <w:r w:rsidRPr="009F6377">
        <w:rPr>
          <w:rFonts w:ascii="Tahoma" w:hAnsi="Tahoma" w:cs="Times New Roman"/>
          <w:color w:val="4D4D4F"/>
          <w:sz w:val="20"/>
          <w:szCs w:val="18"/>
          <w:bdr w:val="none" w:sz="0" w:space="0" w:color="auto" w:frame="1"/>
        </w:rPr>
        <w:t>As the role of the traditional broker continues to evolve, Commodities Now looked for brokers that have challenged the status quo, developing new ways of interacting with clients, enhancing product lines, engaging with the industry and its regulators, and providing additional trading and clearing services.</w:t>
      </w:r>
    </w:p>
    <w:p w:rsidR="00D756EB" w:rsidRPr="009F6377" w:rsidRDefault="00D756EB" w:rsidP="009F6377">
      <w:pPr>
        <w:spacing w:after="0" w:line="256" w:lineRule="atLeast"/>
        <w:jc w:val="both"/>
        <w:textAlignment w:val="baseline"/>
        <w:rPr>
          <w:rFonts w:ascii="Tahoma" w:hAnsi="Tahoma" w:cs="Times New Roman"/>
          <w:color w:val="4D4D4F"/>
          <w:sz w:val="20"/>
          <w:szCs w:val="18"/>
          <w:bdr w:val="none" w:sz="0" w:space="0" w:color="auto" w:frame="1"/>
        </w:rPr>
      </w:pPr>
      <w:r w:rsidRPr="009F6377">
        <w:rPr>
          <w:rFonts w:ascii="Tahoma" w:hAnsi="Tahoma" w:cs="Times New Roman"/>
          <w:color w:val="4D4D4F"/>
          <w:sz w:val="20"/>
          <w:szCs w:val="18"/>
          <w:bdr w:val="none" w:sz="0" w:space="0" w:color="auto" w:frame="1"/>
        </w:rPr>
        <w:t xml:space="preserve">Colin </w:t>
      </w:r>
      <w:proofErr w:type="spellStart"/>
      <w:r w:rsidRPr="009F6377">
        <w:rPr>
          <w:rFonts w:ascii="Tahoma" w:hAnsi="Tahoma" w:cs="Times New Roman"/>
          <w:color w:val="4D4D4F"/>
          <w:sz w:val="20"/>
          <w:szCs w:val="18"/>
          <w:bdr w:val="none" w:sz="0" w:space="0" w:color="auto" w:frame="1"/>
        </w:rPr>
        <w:t>Heffron</w:t>
      </w:r>
      <w:proofErr w:type="spellEnd"/>
      <w:r w:rsidRPr="009F6377">
        <w:rPr>
          <w:rFonts w:ascii="Tahoma" w:hAnsi="Tahoma" w:cs="Times New Roman"/>
          <w:color w:val="4D4D4F"/>
          <w:sz w:val="20"/>
          <w:szCs w:val="18"/>
          <w:bdr w:val="none" w:sz="0" w:space="0" w:color="auto" w:frame="1"/>
        </w:rPr>
        <w:t xml:space="preserve">, President of GFI Group, said: “We are honoured to receive this prestigious award as recognition of our commitment to serve our clients with the highest quality service and products that meet their evolving needs” and added, “Our people at GFI, </w:t>
      </w:r>
      <w:proofErr w:type="spellStart"/>
      <w:proofErr w:type="gramStart"/>
      <w:r w:rsidRPr="009F6377">
        <w:rPr>
          <w:rFonts w:ascii="Tahoma" w:hAnsi="Tahoma" w:cs="Times New Roman"/>
          <w:color w:val="4D4D4F"/>
          <w:sz w:val="20"/>
          <w:szCs w:val="18"/>
          <w:bdr w:val="none" w:sz="0" w:space="0" w:color="auto" w:frame="1"/>
        </w:rPr>
        <w:t>Amerex</w:t>
      </w:r>
      <w:proofErr w:type="spellEnd"/>
      <w:r w:rsidRPr="009F6377">
        <w:rPr>
          <w:rFonts w:ascii="Tahoma" w:hAnsi="Tahoma" w:cs="Times New Roman"/>
          <w:color w:val="4D4D4F"/>
          <w:sz w:val="20"/>
          <w:szCs w:val="18"/>
          <w:bdr w:val="none" w:sz="0" w:space="0" w:color="auto" w:frame="1"/>
        </w:rPr>
        <w:t xml:space="preserve"> ,</w:t>
      </w:r>
      <w:proofErr w:type="gramEnd"/>
      <w:r w:rsidRPr="009F6377">
        <w:rPr>
          <w:rFonts w:ascii="Tahoma" w:hAnsi="Tahoma" w:cs="Times New Roman"/>
          <w:color w:val="4D4D4F"/>
          <w:sz w:val="20"/>
          <w:szCs w:val="18"/>
          <w:bdr w:val="none" w:sz="0" w:space="0" w:color="auto" w:frame="1"/>
        </w:rPr>
        <w:t xml:space="preserve"> </w:t>
      </w:r>
      <w:proofErr w:type="spellStart"/>
      <w:r w:rsidRPr="009F6377">
        <w:rPr>
          <w:rFonts w:ascii="Tahoma" w:hAnsi="Tahoma" w:cs="Times New Roman"/>
          <w:color w:val="4D4D4F"/>
          <w:sz w:val="20"/>
          <w:szCs w:val="18"/>
          <w:bdr w:val="none" w:sz="0" w:space="0" w:color="auto" w:frame="1"/>
        </w:rPr>
        <w:t>StarSupply</w:t>
      </w:r>
      <w:proofErr w:type="spellEnd"/>
      <w:r w:rsidRPr="009F6377">
        <w:rPr>
          <w:rFonts w:ascii="Tahoma" w:hAnsi="Tahoma" w:cs="Times New Roman"/>
          <w:color w:val="4D4D4F"/>
          <w:sz w:val="20"/>
          <w:szCs w:val="18"/>
          <w:bdr w:val="none" w:sz="0" w:space="0" w:color="auto" w:frame="1"/>
        </w:rPr>
        <w:t xml:space="preserve"> and </w:t>
      </w:r>
      <w:proofErr w:type="spellStart"/>
      <w:r w:rsidRPr="009F6377">
        <w:rPr>
          <w:rFonts w:ascii="Tahoma" w:hAnsi="Tahoma" w:cs="Times New Roman"/>
          <w:color w:val="4D4D4F"/>
          <w:sz w:val="20"/>
          <w:szCs w:val="18"/>
          <w:bdr w:val="none" w:sz="0" w:space="0" w:color="auto" w:frame="1"/>
        </w:rPr>
        <w:t>Trayport</w:t>
      </w:r>
      <w:proofErr w:type="spellEnd"/>
      <w:r w:rsidRPr="009F6377">
        <w:rPr>
          <w:rFonts w:ascii="Tahoma" w:hAnsi="Tahoma" w:cs="Times New Roman"/>
          <w:color w:val="4D4D4F"/>
          <w:sz w:val="20"/>
          <w:szCs w:val="18"/>
          <w:bdr w:val="none" w:sz="0" w:space="0" w:color="auto" w:frame="1"/>
        </w:rPr>
        <w:t xml:space="preserve"> strive to provide the best that can be offered in the commodities sector”.</w:t>
      </w:r>
    </w:p>
    <w:p w:rsidR="00D756EB" w:rsidRPr="009F6377" w:rsidRDefault="00D756EB" w:rsidP="009F6377">
      <w:pPr>
        <w:spacing w:after="0" w:line="256" w:lineRule="atLeast"/>
        <w:jc w:val="both"/>
        <w:textAlignment w:val="baseline"/>
        <w:rPr>
          <w:rFonts w:ascii="Tahoma" w:hAnsi="Tahoma" w:cs="Times New Roman"/>
          <w:color w:val="4D4D4F"/>
          <w:sz w:val="20"/>
          <w:szCs w:val="18"/>
          <w:bdr w:val="none" w:sz="0" w:space="0" w:color="auto" w:frame="1"/>
        </w:rPr>
      </w:pPr>
    </w:p>
    <w:p w:rsidR="004C12D3" w:rsidRPr="009F6377" w:rsidRDefault="00D756EB" w:rsidP="009F6377">
      <w:pPr>
        <w:spacing w:after="0" w:line="256" w:lineRule="atLeast"/>
        <w:jc w:val="both"/>
        <w:textAlignment w:val="baseline"/>
        <w:rPr>
          <w:rFonts w:ascii="Tahoma" w:hAnsi="Tahoma" w:cs="Times New Roman"/>
          <w:color w:val="4D4D4F"/>
          <w:sz w:val="20"/>
          <w:szCs w:val="18"/>
          <w:bdr w:val="none" w:sz="0" w:space="0" w:color="auto" w:frame="1"/>
        </w:rPr>
      </w:pPr>
      <w:r w:rsidRPr="009F6377">
        <w:rPr>
          <w:rFonts w:ascii="Tahoma" w:hAnsi="Tahoma" w:cs="Times New Roman"/>
          <w:color w:val="4D4D4F"/>
          <w:sz w:val="20"/>
          <w:szCs w:val="18"/>
          <w:bdr w:val="none" w:sz="0" w:space="0" w:color="auto" w:frame="1"/>
        </w:rPr>
        <w:t>The Award process entailed a submission to a panel of editors, from which they selected and drew a list of nominees, where market practitioners (worldwide) were then asked to vote for companies whom they believed deserved recognition and reward for advancing commodity business expertise.</w:t>
      </w:r>
    </w:p>
    <w:p w:rsidR="00D756EB" w:rsidRPr="009F6377" w:rsidRDefault="00D756EB" w:rsidP="009F6377">
      <w:pPr>
        <w:spacing w:after="0" w:line="256" w:lineRule="atLeast"/>
        <w:jc w:val="both"/>
        <w:textAlignment w:val="baseline"/>
        <w:rPr>
          <w:rFonts w:ascii="Tahoma" w:hAnsi="Tahoma" w:cs="Times New Roman"/>
          <w:color w:val="4D4D4F"/>
          <w:sz w:val="20"/>
          <w:szCs w:val="18"/>
          <w:bdr w:val="none" w:sz="0" w:space="0" w:color="auto" w:frame="1"/>
        </w:rPr>
      </w:pPr>
    </w:p>
    <w:p w:rsidR="00D756EB" w:rsidRPr="009F6377" w:rsidRDefault="00D756EB" w:rsidP="009F6377">
      <w:pPr>
        <w:spacing w:after="0" w:line="256" w:lineRule="atLeast"/>
        <w:jc w:val="both"/>
        <w:textAlignment w:val="baseline"/>
        <w:rPr>
          <w:rFonts w:ascii="Tahoma" w:hAnsi="Tahoma" w:cs="Times New Roman"/>
          <w:color w:val="4D4D4F"/>
          <w:sz w:val="20"/>
          <w:szCs w:val="18"/>
          <w:bdr w:val="none" w:sz="0" w:space="0" w:color="auto" w:frame="1"/>
        </w:rPr>
      </w:pPr>
      <w:r w:rsidRPr="009F6377">
        <w:rPr>
          <w:rFonts w:ascii="Tahoma" w:hAnsi="Tahoma" w:cs="Times New Roman"/>
          <w:color w:val="4D4D4F"/>
          <w:sz w:val="20"/>
          <w:szCs w:val="18"/>
          <w:bdr w:val="none" w:sz="0" w:space="0" w:color="auto" w:frame="1"/>
        </w:rPr>
        <w:t xml:space="preserve">GFI Group, </w:t>
      </w:r>
      <w:proofErr w:type="spellStart"/>
      <w:r w:rsidRPr="009F6377">
        <w:rPr>
          <w:rFonts w:ascii="Tahoma" w:hAnsi="Tahoma" w:cs="Times New Roman"/>
          <w:color w:val="4D4D4F"/>
          <w:sz w:val="20"/>
          <w:szCs w:val="18"/>
          <w:bdr w:val="none" w:sz="0" w:space="0" w:color="auto" w:frame="1"/>
        </w:rPr>
        <w:t>Amerex</w:t>
      </w:r>
      <w:proofErr w:type="spellEnd"/>
      <w:r w:rsidRPr="009F6377">
        <w:rPr>
          <w:rFonts w:ascii="Tahoma" w:hAnsi="Tahoma" w:cs="Times New Roman"/>
          <w:color w:val="4D4D4F"/>
          <w:sz w:val="20"/>
          <w:szCs w:val="18"/>
          <w:bdr w:val="none" w:sz="0" w:space="0" w:color="auto" w:frame="1"/>
        </w:rPr>
        <w:t xml:space="preserve">, </w:t>
      </w:r>
      <w:proofErr w:type="spellStart"/>
      <w:r w:rsidRPr="009F6377">
        <w:rPr>
          <w:rFonts w:ascii="Tahoma" w:hAnsi="Tahoma" w:cs="Times New Roman"/>
          <w:color w:val="4D4D4F"/>
          <w:sz w:val="20"/>
          <w:szCs w:val="18"/>
          <w:bdr w:val="none" w:sz="0" w:space="0" w:color="auto" w:frame="1"/>
        </w:rPr>
        <w:t>StarSupply</w:t>
      </w:r>
      <w:proofErr w:type="spellEnd"/>
      <w:r w:rsidRPr="009F6377">
        <w:rPr>
          <w:rFonts w:ascii="Tahoma" w:hAnsi="Tahoma" w:cs="Times New Roman"/>
          <w:color w:val="4D4D4F"/>
          <w:sz w:val="20"/>
          <w:szCs w:val="18"/>
          <w:bdr w:val="none" w:sz="0" w:space="0" w:color="auto" w:frame="1"/>
        </w:rPr>
        <w:t xml:space="preserve"> and </w:t>
      </w:r>
      <w:proofErr w:type="spellStart"/>
      <w:r w:rsidRPr="009F6377">
        <w:rPr>
          <w:rFonts w:ascii="Tahoma" w:hAnsi="Tahoma" w:cs="Times New Roman"/>
          <w:color w:val="4D4D4F"/>
          <w:sz w:val="20"/>
          <w:szCs w:val="18"/>
          <w:bdr w:val="none" w:sz="0" w:space="0" w:color="auto" w:frame="1"/>
        </w:rPr>
        <w:t>Trayport</w:t>
      </w:r>
      <w:proofErr w:type="spellEnd"/>
      <w:r w:rsidRPr="009F6377">
        <w:rPr>
          <w:rFonts w:ascii="Tahoma" w:hAnsi="Tahoma" w:cs="Times New Roman"/>
          <w:color w:val="4D4D4F"/>
          <w:sz w:val="20"/>
          <w:szCs w:val="18"/>
          <w:bdr w:val="none" w:sz="0" w:space="0" w:color="auto" w:frame="1"/>
        </w:rPr>
        <w:t xml:space="preserve"> provide access to global energy, commodities, power and emissions markets through a hybrid approach that combines voice brokering with state-of-the-art electronic trading platforms: </w:t>
      </w:r>
      <w:proofErr w:type="spellStart"/>
      <w:r w:rsidRPr="009F6377">
        <w:rPr>
          <w:rFonts w:ascii="Tahoma" w:hAnsi="Tahoma" w:cs="Times New Roman"/>
          <w:color w:val="4D4D4F"/>
          <w:sz w:val="20"/>
          <w:szCs w:val="18"/>
          <w:bdr w:val="none" w:sz="0" w:space="0" w:color="auto" w:frame="1"/>
        </w:rPr>
        <w:t>EnergyMatch</w:t>
      </w:r>
      <w:proofErr w:type="spellEnd"/>
      <w:r w:rsidRPr="009F6377">
        <w:rPr>
          <w:rFonts w:ascii="Tahoma" w:hAnsi="Tahoma" w:cs="Times New Roman"/>
          <w:color w:val="4D4D4F"/>
          <w:sz w:val="20"/>
          <w:szCs w:val="18"/>
          <w:bdr w:val="none" w:sz="0" w:space="0" w:color="auto" w:frame="1"/>
        </w:rPr>
        <w:t xml:space="preserve">®, </w:t>
      </w:r>
      <w:proofErr w:type="spellStart"/>
      <w:r w:rsidRPr="009F6377">
        <w:rPr>
          <w:rFonts w:ascii="Tahoma" w:hAnsi="Tahoma" w:cs="Times New Roman"/>
          <w:color w:val="4D4D4F"/>
          <w:sz w:val="20"/>
          <w:szCs w:val="18"/>
          <w:bdr w:val="none" w:sz="0" w:space="0" w:color="auto" w:frame="1"/>
        </w:rPr>
        <w:t>EnergyMatch</w:t>
      </w:r>
      <w:proofErr w:type="spellEnd"/>
      <w:r w:rsidRPr="009F6377">
        <w:rPr>
          <w:rFonts w:ascii="Tahoma" w:hAnsi="Tahoma" w:cs="Times New Roman"/>
          <w:color w:val="4D4D4F"/>
          <w:sz w:val="20"/>
          <w:szCs w:val="18"/>
          <w:bdr w:val="none" w:sz="0" w:space="0" w:color="auto" w:frame="1"/>
        </w:rPr>
        <w:t xml:space="preserve">® Europe, and </w:t>
      </w:r>
      <w:proofErr w:type="spellStart"/>
      <w:r w:rsidRPr="009F6377">
        <w:rPr>
          <w:rFonts w:ascii="Tahoma" w:hAnsi="Tahoma" w:cs="Times New Roman"/>
          <w:color w:val="4D4D4F"/>
          <w:sz w:val="20"/>
          <w:szCs w:val="18"/>
          <w:bdr w:val="none" w:sz="0" w:space="0" w:color="auto" w:frame="1"/>
        </w:rPr>
        <w:t>Trayport</w:t>
      </w:r>
      <w:proofErr w:type="spellEnd"/>
      <w:r w:rsidRPr="009F6377">
        <w:rPr>
          <w:rFonts w:ascii="Tahoma" w:hAnsi="Tahoma" w:cs="Times New Roman"/>
          <w:color w:val="4D4D4F"/>
          <w:sz w:val="20"/>
          <w:szCs w:val="18"/>
          <w:bdr w:val="none" w:sz="0" w:space="0" w:color="auto" w:frame="1"/>
        </w:rPr>
        <w:t xml:space="preserve"> Global Vision Trading Gateway®.</w:t>
      </w:r>
    </w:p>
    <w:p w:rsidR="004C12D3" w:rsidRPr="009F6377" w:rsidRDefault="004C12D3" w:rsidP="009F6377">
      <w:pPr>
        <w:spacing w:after="0" w:line="256" w:lineRule="atLeast"/>
        <w:jc w:val="both"/>
        <w:textAlignment w:val="baseline"/>
        <w:rPr>
          <w:rFonts w:ascii="Tahoma" w:hAnsi="Tahoma" w:cs="Times New Roman"/>
          <w:color w:val="4D4D4F"/>
          <w:sz w:val="20"/>
          <w:szCs w:val="18"/>
          <w:bdr w:val="none" w:sz="0" w:space="0" w:color="auto" w:frame="1"/>
        </w:rPr>
      </w:pPr>
    </w:p>
    <w:p w:rsidR="004C12D3" w:rsidRPr="009F6377" w:rsidRDefault="004C12D3" w:rsidP="009F6377">
      <w:pPr>
        <w:spacing w:after="0" w:line="256" w:lineRule="atLeast"/>
        <w:jc w:val="both"/>
        <w:textAlignment w:val="baseline"/>
        <w:rPr>
          <w:rFonts w:ascii="Tahoma" w:hAnsi="Tahoma" w:cs="Times New Roman"/>
          <w:color w:val="4D4D4F"/>
          <w:sz w:val="20"/>
          <w:szCs w:val="18"/>
          <w:bdr w:val="none" w:sz="0" w:space="0" w:color="auto" w:frame="1"/>
        </w:rPr>
      </w:pPr>
    </w:p>
    <w:p w:rsidR="00D756EB" w:rsidRPr="00D756EB" w:rsidRDefault="00D756EB" w:rsidP="00D756EB">
      <w:pPr>
        <w:spacing w:after="0" w:line="256" w:lineRule="atLeast"/>
        <w:textAlignment w:val="baseline"/>
        <w:rPr>
          <w:rFonts w:ascii="Tahoma" w:hAnsi="Tahoma" w:cs="Times New Roman"/>
          <w:color w:val="4D4D4F"/>
          <w:sz w:val="22"/>
          <w:szCs w:val="18"/>
          <w:bdr w:val="none" w:sz="0" w:space="0" w:color="auto" w:frame="1"/>
        </w:rPr>
      </w:pPr>
    </w:p>
    <w:p w:rsidR="00D756EB" w:rsidRPr="00D756EB" w:rsidRDefault="00D756EB" w:rsidP="00D756EB">
      <w:pPr>
        <w:spacing w:after="0" w:line="256" w:lineRule="atLeast"/>
        <w:textAlignment w:val="baseline"/>
        <w:rPr>
          <w:rFonts w:ascii="Tahoma" w:hAnsi="Tahoma" w:cs="Times New Roman"/>
          <w:color w:val="4D4D4F"/>
          <w:sz w:val="22"/>
          <w:szCs w:val="18"/>
          <w:bdr w:val="none" w:sz="0" w:space="0" w:color="auto" w:frame="1"/>
        </w:rPr>
      </w:pPr>
      <w:r w:rsidRPr="00D756EB">
        <w:rPr>
          <w:rFonts w:ascii="Tahoma" w:hAnsi="Tahoma" w:cs="Times New Roman"/>
          <w:b/>
          <w:color w:val="003B71"/>
          <w:sz w:val="22"/>
        </w:rPr>
        <w:t xml:space="preserve">About GFI Group Inc. </w:t>
      </w:r>
      <w:proofErr w:type="gramStart"/>
      <w:r w:rsidRPr="00D756EB">
        <w:rPr>
          <w:rFonts w:ascii="Tahoma" w:hAnsi="Tahoma" w:cs="Times New Roman"/>
          <w:b/>
          <w:color w:val="003B71"/>
          <w:sz w:val="22"/>
        </w:rPr>
        <w:t>www.GFIgroup.com</w:t>
      </w:r>
      <w:proofErr w:type="gramEnd"/>
      <w:r w:rsidRPr="00D756EB">
        <w:rPr>
          <w:rFonts w:ascii="Tahoma" w:hAnsi="Tahoma" w:cs="Times New Roman"/>
          <w:b/>
          <w:color w:val="003B71"/>
          <w:sz w:val="22"/>
        </w:rPr>
        <w:t> </w:t>
      </w:r>
      <w:r w:rsidRPr="00D756EB">
        <w:rPr>
          <w:rFonts w:ascii="Tahoma" w:hAnsi="Tahoma" w:cs="Times New Roman"/>
          <w:color w:val="4D4D4F"/>
          <w:sz w:val="22"/>
          <w:szCs w:val="18"/>
          <w:bdr w:val="none" w:sz="0" w:space="0" w:color="auto" w:frame="1"/>
        </w:rPr>
        <w:br/>
        <w:t xml:space="preserve">GFI Group Inc. (NYSE: “GFIG”) is a leading provider of wholesale brokerage, clearing services, electronic execution and trading support products for global financial </w:t>
      </w:r>
      <w:proofErr w:type="gramStart"/>
      <w:r w:rsidRPr="00D756EB">
        <w:rPr>
          <w:rFonts w:ascii="Tahoma" w:hAnsi="Tahoma" w:cs="Times New Roman"/>
          <w:color w:val="4D4D4F"/>
          <w:sz w:val="22"/>
          <w:szCs w:val="18"/>
          <w:bdr w:val="none" w:sz="0" w:space="0" w:color="auto" w:frame="1"/>
        </w:rPr>
        <w:t>markets.</w:t>
      </w:r>
      <w:proofErr w:type="gramEnd"/>
      <w:r w:rsidRPr="00D756EB">
        <w:rPr>
          <w:rFonts w:ascii="Tahoma" w:hAnsi="Tahoma" w:cs="Times New Roman"/>
          <w:color w:val="4D4D4F"/>
          <w:sz w:val="22"/>
          <w:szCs w:val="18"/>
          <w:bdr w:val="none" w:sz="0" w:space="0" w:color="auto" w:frame="1"/>
        </w:rPr>
        <w:t xml:space="preserve"> GFI Group Inc. </w:t>
      </w:r>
      <w:proofErr w:type="gramStart"/>
      <w:r w:rsidRPr="00D756EB">
        <w:rPr>
          <w:rFonts w:ascii="Tahoma" w:hAnsi="Tahoma" w:cs="Times New Roman"/>
          <w:color w:val="4D4D4F"/>
          <w:sz w:val="22"/>
          <w:szCs w:val="18"/>
          <w:bdr w:val="none" w:sz="0" w:space="0" w:color="auto" w:frame="1"/>
        </w:rPr>
        <w:t>provides</w:t>
      </w:r>
      <w:proofErr w:type="gramEnd"/>
      <w:r w:rsidRPr="00D756EB">
        <w:rPr>
          <w:rFonts w:ascii="Tahoma" w:hAnsi="Tahoma" w:cs="Times New Roman"/>
          <w:color w:val="4D4D4F"/>
          <w:sz w:val="22"/>
          <w:szCs w:val="18"/>
          <w:bdr w:val="none" w:sz="0" w:space="0" w:color="auto" w:frame="1"/>
        </w:rPr>
        <w:t xml:space="preserve"> brokerage services, market data, trading platforms and analytics software products to institutional clients in markets for a range of fixed income, financial, equity and commodity instruments.</w:t>
      </w:r>
    </w:p>
    <w:p w:rsidR="00D756EB" w:rsidRPr="00D756EB" w:rsidRDefault="00D756EB" w:rsidP="00D756EB">
      <w:pPr>
        <w:spacing w:after="0" w:line="256" w:lineRule="atLeast"/>
        <w:textAlignment w:val="baseline"/>
        <w:rPr>
          <w:rFonts w:ascii="Tahoma" w:hAnsi="Tahoma" w:cs="Times New Roman"/>
          <w:color w:val="4D4D4F"/>
          <w:sz w:val="22"/>
          <w:szCs w:val="18"/>
          <w:bdr w:val="none" w:sz="0" w:space="0" w:color="auto" w:frame="1"/>
        </w:rPr>
      </w:pPr>
      <w:r w:rsidRPr="00D756EB">
        <w:rPr>
          <w:rFonts w:ascii="Tahoma" w:hAnsi="Tahoma" w:cs="Times New Roman"/>
          <w:color w:val="4D4D4F"/>
          <w:sz w:val="22"/>
          <w:szCs w:val="18"/>
          <w:bdr w:val="none" w:sz="0" w:space="0" w:color="auto" w:frame="1"/>
        </w:rPr>
        <w:t xml:space="preserve">Headquartered in New York, GFI was founded in 1987 and employs more than 1,900 people with additional offices in London, Paris, Hong Kong, Seoul, Tokyo, Singapore, Sydney, Cape Town, Santiago, Dubai, Dublin, Tel Aviv, Calgary, Los Angeles, Englewood (NJ) and Sugar Land (TX). GFI Group Inc. </w:t>
      </w:r>
      <w:proofErr w:type="gramStart"/>
      <w:r w:rsidRPr="00D756EB">
        <w:rPr>
          <w:rFonts w:ascii="Tahoma" w:hAnsi="Tahoma" w:cs="Times New Roman"/>
          <w:color w:val="4D4D4F"/>
          <w:sz w:val="22"/>
          <w:szCs w:val="18"/>
          <w:bdr w:val="none" w:sz="0" w:space="0" w:color="auto" w:frame="1"/>
        </w:rPr>
        <w:t>provides</w:t>
      </w:r>
      <w:proofErr w:type="gramEnd"/>
      <w:r w:rsidRPr="00D756EB">
        <w:rPr>
          <w:rFonts w:ascii="Tahoma" w:hAnsi="Tahoma" w:cs="Times New Roman"/>
          <w:color w:val="4D4D4F"/>
          <w:sz w:val="22"/>
          <w:szCs w:val="18"/>
          <w:bdr w:val="none" w:sz="0" w:space="0" w:color="auto" w:frame="1"/>
        </w:rPr>
        <w:t xml:space="preserve"> services and products to over 2,400 institutional clients, including leading investment and commercial banks, corporations, insurance companies and hedge funds. Its brands include GFISM, </w:t>
      </w:r>
      <w:proofErr w:type="spellStart"/>
      <w:r w:rsidRPr="00D756EB">
        <w:rPr>
          <w:rFonts w:ascii="Tahoma" w:hAnsi="Tahoma" w:cs="Times New Roman"/>
          <w:color w:val="4D4D4F"/>
          <w:sz w:val="22"/>
          <w:szCs w:val="18"/>
          <w:bdr w:val="none" w:sz="0" w:space="0" w:color="auto" w:frame="1"/>
        </w:rPr>
        <w:t>GFInet</w:t>
      </w:r>
      <w:proofErr w:type="spellEnd"/>
      <w:r w:rsidRPr="00D756EB">
        <w:rPr>
          <w:rFonts w:ascii="Tahoma" w:hAnsi="Tahoma" w:cs="Times New Roman"/>
          <w:color w:val="4D4D4F"/>
          <w:sz w:val="22"/>
          <w:szCs w:val="18"/>
          <w:bdr w:val="none" w:sz="0" w:space="0" w:color="auto" w:frame="1"/>
        </w:rPr>
        <w:t xml:space="preserve">®, </w:t>
      </w:r>
      <w:proofErr w:type="spellStart"/>
      <w:r w:rsidRPr="00D756EB">
        <w:rPr>
          <w:rFonts w:ascii="Tahoma" w:hAnsi="Tahoma" w:cs="Times New Roman"/>
          <w:color w:val="4D4D4F"/>
          <w:sz w:val="22"/>
          <w:szCs w:val="18"/>
          <w:bdr w:val="none" w:sz="0" w:space="0" w:color="auto" w:frame="1"/>
        </w:rPr>
        <w:t>CreditMatch</w:t>
      </w:r>
      <w:proofErr w:type="spellEnd"/>
      <w:r w:rsidRPr="00D756EB">
        <w:rPr>
          <w:rFonts w:ascii="Tahoma" w:hAnsi="Tahoma" w:cs="Times New Roman"/>
          <w:color w:val="4D4D4F"/>
          <w:sz w:val="22"/>
          <w:szCs w:val="18"/>
          <w:bdr w:val="none" w:sz="0" w:space="0" w:color="auto" w:frame="1"/>
        </w:rPr>
        <w:t xml:space="preserve">®, GFI </w:t>
      </w:r>
      <w:proofErr w:type="spellStart"/>
      <w:r w:rsidRPr="00D756EB">
        <w:rPr>
          <w:rFonts w:ascii="Tahoma" w:hAnsi="Tahoma" w:cs="Times New Roman"/>
          <w:color w:val="4D4D4F"/>
          <w:sz w:val="22"/>
          <w:szCs w:val="18"/>
          <w:bdr w:val="none" w:sz="0" w:space="0" w:color="auto" w:frame="1"/>
        </w:rPr>
        <w:t>ForexMatch</w:t>
      </w:r>
      <w:proofErr w:type="spellEnd"/>
      <w:r w:rsidRPr="00D756EB">
        <w:rPr>
          <w:rFonts w:ascii="Tahoma" w:hAnsi="Tahoma" w:cs="Times New Roman"/>
          <w:color w:val="4D4D4F"/>
          <w:sz w:val="22"/>
          <w:szCs w:val="18"/>
          <w:bdr w:val="none" w:sz="0" w:space="0" w:color="auto" w:frame="1"/>
        </w:rPr>
        <w:t xml:space="preserve">®, </w:t>
      </w:r>
      <w:proofErr w:type="spellStart"/>
      <w:r w:rsidRPr="00D756EB">
        <w:rPr>
          <w:rFonts w:ascii="Tahoma" w:hAnsi="Tahoma" w:cs="Times New Roman"/>
          <w:color w:val="4D4D4F"/>
          <w:sz w:val="22"/>
          <w:szCs w:val="18"/>
          <w:bdr w:val="none" w:sz="0" w:space="0" w:color="auto" w:frame="1"/>
        </w:rPr>
        <w:t>EnergyMatch</w:t>
      </w:r>
      <w:proofErr w:type="spellEnd"/>
      <w:r w:rsidRPr="00D756EB">
        <w:rPr>
          <w:rFonts w:ascii="Tahoma" w:hAnsi="Tahoma" w:cs="Times New Roman"/>
          <w:color w:val="4D4D4F"/>
          <w:sz w:val="22"/>
          <w:szCs w:val="18"/>
          <w:bdr w:val="none" w:sz="0" w:space="0" w:color="auto" w:frame="1"/>
        </w:rPr>
        <w:t xml:space="preserve">®, FENICS®, </w:t>
      </w:r>
      <w:proofErr w:type="spellStart"/>
      <w:r w:rsidRPr="00D756EB">
        <w:rPr>
          <w:rFonts w:ascii="Tahoma" w:hAnsi="Tahoma" w:cs="Times New Roman"/>
          <w:color w:val="4D4D4F"/>
          <w:sz w:val="22"/>
          <w:szCs w:val="18"/>
          <w:bdr w:val="none" w:sz="0" w:space="0" w:color="auto" w:frame="1"/>
        </w:rPr>
        <w:t>Starsupply</w:t>
      </w:r>
      <w:proofErr w:type="spellEnd"/>
      <w:r w:rsidRPr="00D756EB">
        <w:rPr>
          <w:rFonts w:ascii="Tahoma" w:hAnsi="Tahoma" w:cs="Times New Roman"/>
          <w:color w:val="4D4D4F"/>
          <w:sz w:val="22"/>
          <w:szCs w:val="18"/>
          <w:bdr w:val="none" w:sz="0" w:space="0" w:color="auto" w:frame="1"/>
        </w:rPr>
        <w:t xml:space="preserve">®, </w:t>
      </w:r>
      <w:proofErr w:type="spellStart"/>
      <w:r w:rsidRPr="00D756EB">
        <w:rPr>
          <w:rFonts w:ascii="Tahoma" w:hAnsi="Tahoma" w:cs="Times New Roman"/>
          <w:color w:val="4D4D4F"/>
          <w:sz w:val="22"/>
          <w:szCs w:val="18"/>
          <w:bdr w:val="none" w:sz="0" w:space="0" w:color="auto" w:frame="1"/>
        </w:rPr>
        <w:t>Amerex</w:t>
      </w:r>
      <w:proofErr w:type="spellEnd"/>
      <w:r w:rsidRPr="00D756EB">
        <w:rPr>
          <w:rFonts w:ascii="Tahoma" w:hAnsi="Tahoma" w:cs="Times New Roman"/>
          <w:color w:val="4D4D4F"/>
          <w:sz w:val="22"/>
          <w:szCs w:val="18"/>
          <w:bdr w:val="none" w:sz="0" w:space="0" w:color="auto" w:frame="1"/>
        </w:rPr>
        <w:t xml:space="preserve">®, </w:t>
      </w:r>
      <w:proofErr w:type="spellStart"/>
      <w:r w:rsidRPr="00D756EB">
        <w:rPr>
          <w:rFonts w:ascii="Tahoma" w:hAnsi="Tahoma" w:cs="Times New Roman"/>
          <w:color w:val="4D4D4F"/>
          <w:sz w:val="22"/>
          <w:szCs w:val="18"/>
          <w:bdr w:val="none" w:sz="0" w:space="0" w:color="auto" w:frame="1"/>
        </w:rPr>
        <w:t>Trayport</w:t>
      </w:r>
      <w:proofErr w:type="spellEnd"/>
      <w:r w:rsidRPr="00D756EB">
        <w:rPr>
          <w:rFonts w:ascii="Tahoma" w:hAnsi="Tahoma" w:cs="Times New Roman"/>
          <w:color w:val="4D4D4F"/>
          <w:sz w:val="22"/>
          <w:szCs w:val="18"/>
          <w:bdr w:val="none" w:sz="0" w:space="0" w:color="auto" w:frame="1"/>
        </w:rPr>
        <w:t xml:space="preserve">® and </w:t>
      </w:r>
      <w:proofErr w:type="spellStart"/>
      <w:r w:rsidRPr="00D756EB">
        <w:rPr>
          <w:rFonts w:ascii="Tahoma" w:hAnsi="Tahoma" w:cs="Times New Roman"/>
          <w:color w:val="4D4D4F"/>
          <w:sz w:val="22"/>
          <w:szCs w:val="18"/>
          <w:bdr w:val="none" w:sz="0" w:space="0" w:color="auto" w:frame="1"/>
        </w:rPr>
        <w:t>Kyte</w:t>
      </w:r>
      <w:proofErr w:type="spellEnd"/>
      <w:r w:rsidRPr="00D756EB">
        <w:rPr>
          <w:rFonts w:ascii="Tahoma" w:hAnsi="Tahoma" w:cs="Times New Roman"/>
          <w:color w:val="4D4D4F"/>
          <w:sz w:val="22"/>
          <w:szCs w:val="18"/>
          <w:bdr w:val="none" w:sz="0" w:space="0" w:color="auto" w:frame="1"/>
        </w:rPr>
        <w:t>®.</w:t>
      </w:r>
    </w:p>
    <w:p w:rsidR="00D756EB" w:rsidRPr="00D756EB" w:rsidRDefault="00D756EB" w:rsidP="00D756EB">
      <w:pPr>
        <w:spacing w:after="0" w:line="256" w:lineRule="atLeast"/>
        <w:textAlignment w:val="baseline"/>
        <w:rPr>
          <w:rFonts w:ascii="Tahoma" w:hAnsi="Tahoma" w:cs="Times New Roman"/>
          <w:color w:val="4D4D4F"/>
          <w:sz w:val="22"/>
          <w:szCs w:val="18"/>
          <w:bdr w:val="none" w:sz="0" w:space="0" w:color="auto" w:frame="1"/>
        </w:rPr>
      </w:pPr>
    </w:p>
    <w:p w:rsidR="00D756EB" w:rsidRPr="00D756EB" w:rsidRDefault="00D756EB" w:rsidP="00D756EB">
      <w:pPr>
        <w:spacing w:after="0" w:line="256" w:lineRule="atLeast"/>
        <w:textAlignment w:val="baseline"/>
        <w:rPr>
          <w:rFonts w:ascii="Tahoma" w:hAnsi="Tahoma" w:cs="Times New Roman"/>
          <w:color w:val="4D4D4F"/>
          <w:sz w:val="22"/>
          <w:szCs w:val="18"/>
          <w:bdr w:val="none" w:sz="0" w:space="0" w:color="auto" w:frame="1"/>
        </w:rPr>
      </w:pPr>
      <w:r w:rsidRPr="00D756EB">
        <w:rPr>
          <w:rFonts w:ascii="Tahoma" w:hAnsi="Tahoma" w:cs="Times New Roman"/>
          <w:b/>
          <w:color w:val="003B71"/>
          <w:sz w:val="22"/>
        </w:rPr>
        <w:t xml:space="preserve">About </w:t>
      </w:r>
      <w:proofErr w:type="spellStart"/>
      <w:r w:rsidRPr="00D756EB">
        <w:rPr>
          <w:rFonts w:ascii="Tahoma" w:hAnsi="Tahoma" w:cs="Times New Roman"/>
          <w:b/>
          <w:color w:val="003B71"/>
          <w:sz w:val="22"/>
        </w:rPr>
        <w:t>Amerex</w:t>
      </w:r>
      <w:proofErr w:type="spellEnd"/>
      <w:r w:rsidRPr="00D756EB">
        <w:rPr>
          <w:rFonts w:ascii="Tahoma" w:hAnsi="Tahoma" w:cs="Times New Roman"/>
          <w:b/>
          <w:color w:val="003B71"/>
          <w:sz w:val="22"/>
        </w:rPr>
        <w:t xml:space="preserve"> Brokers LLC </w:t>
      </w:r>
      <w:r w:rsidRPr="00D756EB">
        <w:rPr>
          <w:rFonts w:ascii="Tahoma" w:hAnsi="Tahoma" w:cs="Times New Roman"/>
          <w:color w:val="4D4D4F"/>
          <w:sz w:val="22"/>
          <w:szCs w:val="18"/>
          <w:bdr w:val="none" w:sz="0" w:space="0" w:color="auto" w:frame="1"/>
        </w:rPr>
        <w:br/>
        <w:t xml:space="preserve">Founded in 1978, </w:t>
      </w:r>
      <w:proofErr w:type="spellStart"/>
      <w:r w:rsidRPr="00D756EB">
        <w:rPr>
          <w:rFonts w:ascii="Tahoma" w:hAnsi="Tahoma" w:cs="Times New Roman"/>
          <w:color w:val="4D4D4F"/>
          <w:sz w:val="22"/>
          <w:szCs w:val="18"/>
          <w:bdr w:val="none" w:sz="0" w:space="0" w:color="auto" w:frame="1"/>
        </w:rPr>
        <w:t>Amerex</w:t>
      </w:r>
      <w:proofErr w:type="spellEnd"/>
      <w:r w:rsidRPr="00D756EB">
        <w:rPr>
          <w:rFonts w:ascii="Tahoma" w:hAnsi="Tahoma" w:cs="Times New Roman"/>
          <w:color w:val="4D4D4F"/>
          <w:sz w:val="22"/>
          <w:szCs w:val="18"/>
          <w:bdr w:val="none" w:sz="0" w:space="0" w:color="auto" w:frame="1"/>
        </w:rPr>
        <w:t xml:space="preserve"> is a leading over-the-counter energy brokerage offering services in electricity, natural gas, emission credits and allowances, renewable energy credits, retail energy procurement, energy consulting and energy data services. From its office in Houston, </w:t>
      </w:r>
      <w:proofErr w:type="spellStart"/>
      <w:r w:rsidRPr="00D756EB">
        <w:rPr>
          <w:rFonts w:ascii="Tahoma" w:hAnsi="Tahoma" w:cs="Times New Roman"/>
          <w:color w:val="4D4D4F"/>
          <w:sz w:val="22"/>
          <w:szCs w:val="18"/>
          <w:bdr w:val="none" w:sz="0" w:space="0" w:color="auto" w:frame="1"/>
        </w:rPr>
        <w:t>Amerex</w:t>
      </w:r>
      <w:proofErr w:type="spellEnd"/>
      <w:r w:rsidRPr="00D756EB">
        <w:rPr>
          <w:rFonts w:ascii="Tahoma" w:hAnsi="Tahoma" w:cs="Times New Roman"/>
          <w:color w:val="4D4D4F"/>
          <w:sz w:val="22"/>
          <w:szCs w:val="18"/>
          <w:bdr w:val="none" w:sz="0" w:space="0" w:color="auto" w:frame="1"/>
        </w:rPr>
        <w:t xml:space="preserve"> offers liquidity and timely execution to meet the needs of a global client network of more than 1,000 firms including thousands of traders and risk management professionals. </w:t>
      </w:r>
      <w:r w:rsidRPr="00D756EB">
        <w:rPr>
          <w:rFonts w:ascii="Tahoma" w:hAnsi="Tahoma" w:cs="Times New Roman"/>
          <w:color w:val="4D4D4F"/>
          <w:sz w:val="22"/>
          <w:szCs w:val="18"/>
          <w:bdr w:val="none" w:sz="0" w:space="0" w:color="auto" w:frame="1"/>
        </w:rPr>
        <w:br/>
        <w:t xml:space="preserve">For additional information, please visit www.amerexenergy.com. </w:t>
      </w:r>
      <w:proofErr w:type="spellStart"/>
      <w:r w:rsidRPr="00D756EB">
        <w:rPr>
          <w:rFonts w:ascii="Tahoma" w:hAnsi="Tahoma" w:cs="Times New Roman"/>
          <w:color w:val="4D4D4F"/>
          <w:sz w:val="22"/>
          <w:szCs w:val="18"/>
          <w:bdr w:val="none" w:sz="0" w:space="0" w:color="auto" w:frame="1"/>
        </w:rPr>
        <w:t>Amerex</w:t>
      </w:r>
      <w:proofErr w:type="spellEnd"/>
      <w:r w:rsidRPr="00D756EB">
        <w:rPr>
          <w:rFonts w:ascii="Tahoma" w:hAnsi="Tahoma" w:cs="Times New Roman"/>
          <w:color w:val="4D4D4F"/>
          <w:sz w:val="22"/>
          <w:szCs w:val="18"/>
          <w:bdr w:val="none" w:sz="0" w:space="0" w:color="auto" w:frame="1"/>
        </w:rPr>
        <w:t xml:space="preserve"> Brokers LLC is a </w:t>
      </w:r>
      <w:proofErr w:type="gramStart"/>
      <w:r w:rsidRPr="00D756EB">
        <w:rPr>
          <w:rFonts w:ascii="Tahoma" w:hAnsi="Tahoma" w:cs="Times New Roman"/>
          <w:color w:val="4D4D4F"/>
          <w:sz w:val="22"/>
          <w:szCs w:val="18"/>
          <w:bdr w:val="none" w:sz="0" w:space="0" w:color="auto" w:frame="1"/>
        </w:rPr>
        <w:t>wholly-owned</w:t>
      </w:r>
      <w:proofErr w:type="gramEnd"/>
      <w:r w:rsidRPr="00D756EB">
        <w:rPr>
          <w:rFonts w:ascii="Tahoma" w:hAnsi="Tahoma" w:cs="Times New Roman"/>
          <w:color w:val="4D4D4F"/>
          <w:sz w:val="22"/>
          <w:szCs w:val="18"/>
          <w:bdr w:val="none" w:sz="0" w:space="0" w:color="auto" w:frame="1"/>
        </w:rPr>
        <w:t xml:space="preserve"> subsidiary of GFI Group Inc. (NYSE</w:t>
      </w:r>
      <w:proofErr w:type="gramStart"/>
      <w:r w:rsidRPr="00D756EB">
        <w:rPr>
          <w:rFonts w:ascii="Tahoma" w:hAnsi="Tahoma" w:cs="Times New Roman"/>
          <w:color w:val="4D4D4F"/>
          <w:sz w:val="22"/>
          <w:szCs w:val="18"/>
          <w:bdr w:val="none" w:sz="0" w:space="0" w:color="auto" w:frame="1"/>
        </w:rPr>
        <w:t>:GFIG</w:t>
      </w:r>
      <w:proofErr w:type="gramEnd"/>
      <w:r w:rsidRPr="00D756EB">
        <w:rPr>
          <w:rFonts w:ascii="Tahoma" w:hAnsi="Tahoma" w:cs="Times New Roman"/>
          <w:color w:val="4D4D4F"/>
          <w:sz w:val="22"/>
          <w:szCs w:val="18"/>
          <w:bdr w:val="none" w:sz="0" w:space="0" w:color="auto" w:frame="1"/>
        </w:rPr>
        <w:t xml:space="preserve">), a leading inter-dealer broker specializing in over-the-counter derivatives products and related securities. GFI provides brokerage services, trading system software and market data and analytics software products for a range of credit, financial, equity and commodity instruments. GFI operates one of the largest OTC energy brokerage businesses in North America both directly and through its </w:t>
      </w:r>
      <w:proofErr w:type="spellStart"/>
      <w:r w:rsidRPr="00D756EB">
        <w:rPr>
          <w:rFonts w:ascii="Tahoma" w:hAnsi="Tahoma" w:cs="Times New Roman"/>
          <w:color w:val="4D4D4F"/>
          <w:sz w:val="22"/>
          <w:szCs w:val="18"/>
          <w:bdr w:val="none" w:sz="0" w:space="0" w:color="auto" w:frame="1"/>
        </w:rPr>
        <w:t>Amerex</w:t>
      </w:r>
      <w:proofErr w:type="spellEnd"/>
      <w:r w:rsidRPr="00D756EB">
        <w:rPr>
          <w:rFonts w:ascii="Tahoma" w:hAnsi="Tahoma" w:cs="Times New Roman"/>
          <w:color w:val="4D4D4F"/>
          <w:sz w:val="22"/>
          <w:szCs w:val="18"/>
          <w:bdr w:val="none" w:sz="0" w:space="0" w:color="auto" w:frame="1"/>
        </w:rPr>
        <w:t xml:space="preserve"> and </w:t>
      </w:r>
      <w:proofErr w:type="spellStart"/>
      <w:r w:rsidRPr="00D756EB">
        <w:rPr>
          <w:rFonts w:ascii="Tahoma" w:hAnsi="Tahoma" w:cs="Times New Roman"/>
          <w:color w:val="4D4D4F"/>
          <w:sz w:val="22"/>
          <w:szCs w:val="18"/>
          <w:bdr w:val="none" w:sz="0" w:space="0" w:color="auto" w:frame="1"/>
        </w:rPr>
        <w:t>StarSupply</w:t>
      </w:r>
      <w:proofErr w:type="spellEnd"/>
      <w:r w:rsidRPr="00D756EB">
        <w:rPr>
          <w:rFonts w:ascii="Tahoma" w:hAnsi="Tahoma" w:cs="Times New Roman"/>
          <w:color w:val="4D4D4F"/>
          <w:sz w:val="22"/>
          <w:szCs w:val="18"/>
          <w:bdr w:val="none" w:sz="0" w:space="0" w:color="auto" w:frame="1"/>
        </w:rPr>
        <w:t xml:space="preserve"> businesses. More information is available at </w:t>
      </w:r>
      <w:hyperlink r:id="rId4" w:history="1">
        <w:r w:rsidRPr="00D756EB">
          <w:rPr>
            <w:rFonts w:ascii="Tahoma" w:hAnsi="Tahoma" w:cs="Times New Roman"/>
            <w:color w:val="CC6600"/>
            <w:sz w:val="22"/>
            <w:u w:val="single"/>
          </w:rPr>
          <w:t>www.amerexenergy.com</w:t>
        </w:r>
      </w:hyperlink>
    </w:p>
    <w:p w:rsidR="00D756EB" w:rsidRPr="00D756EB" w:rsidRDefault="00D756EB" w:rsidP="00D756EB">
      <w:pPr>
        <w:spacing w:after="0" w:line="256" w:lineRule="atLeast"/>
        <w:textAlignment w:val="baseline"/>
        <w:rPr>
          <w:rFonts w:ascii="Tahoma" w:hAnsi="Tahoma" w:cs="Times New Roman"/>
          <w:b/>
          <w:color w:val="003B71"/>
          <w:sz w:val="22"/>
        </w:rPr>
      </w:pPr>
    </w:p>
    <w:p w:rsidR="00D756EB" w:rsidRPr="00D756EB" w:rsidRDefault="00D756EB" w:rsidP="00D756EB">
      <w:pPr>
        <w:spacing w:after="0" w:line="256" w:lineRule="atLeast"/>
        <w:textAlignment w:val="baseline"/>
        <w:rPr>
          <w:rFonts w:ascii="Tahoma" w:hAnsi="Tahoma" w:cs="Times New Roman"/>
          <w:color w:val="4D4D4F"/>
          <w:sz w:val="22"/>
          <w:szCs w:val="18"/>
          <w:bdr w:val="none" w:sz="0" w:space="0" w:color="auto" w:frame="1"/>
        </w:rPr>
      </w:pPr>
      <w:r w:rsidRPr="00D756EB">
        <w:rPr>
          <w:rFonts w:ascii="Tahoma" w:hAnsi="Tahoma" w:cs="Times New Roman"/>
          <w:b/>
          <w:color w:val="003B71"/>
          <w:sz w:val="22"/>
        </w:rPr>
        <w:t xml:space="preserve">About </w:t>
      </w:r>
      <w:proofErr w:type="spellStart"/>
      <w:r w:rsidRPr="00D756EB">
        <w:rPr>
          <w:rFonts w:ascii="Tahoma" w:hAnsi="Tahoma" w:cs="Times New Roman"/>
          <w:b/>
          <w:color w:val="003B71"/>
          <w:sz w:val="22"/>
        </w:rPr>
        <w:t>Trayport</w:t>
      </w:r>
      <w:proofErr w:type="spellEnd"/>
      <w:r w:rsidRPr="00D756EB">
        <w:rPr>
          <w:rFonts w:ascii="Tahoma" w:hAnsi="Tahoma" w:cs="Times New Roman"/>
          <w:b/>
          <w:color w:val="003B71"/>
          <w:sz w:val="22"/>
        </w:rPr>
        <w:t xml:space="preserve"> Limited</w:t>
      </w:r>
      <w:r w:rsidRPr="00D756EB">
        <w:rPr>
          <w:rFonts w:ascii="Tahoma" w:hAnsi="Tahoma" w:cs="Times New Roman"/>
          <w:color w:val="4D4D4F"/>
          <w:sz w:val="22"/>
          <w:szCs w:val="18"/>
          <w:bdr w:val="none" w:sz="0" w:space="0" w:color="auto" w:frame="1"/>
        </w:rPr>
        <w:br/>
      </w:r>
      <w:proofErr w:type="spellStart"/>
      <w:r w:rsidRPr="00D756EB">
        <w:rPr>
          <w:rFonts w:ascii="Tahoma" w:hAnsi="Tahoma" w:cs="Times New Roman"/>
          <w:color w:val="4D4D4F"/>
          <w:sz w:val="22"/>
          <w:szCs w:val="18"/>
          <w:bdr w:val="none" w:sz="0" w:space="0" w:color="auto" w:frame="1"/>
        </w:rPr>
        <w:t>Trayport</w:t>
      </w:r>
      <w:proofErr w:type="spellEnd"/>
      <w:r w:rsidRPr="00D756EB">
        <w:rPr>
          <w:rFonts w:ascii="Tahoma" w:hAnsi="Tahoma" w:cs="Times New Roman"/>
          <w:color w:val="4D4D4F"/>
          <w:sz w:val="22"/>
          <w:szCs w:val="18"/>
          <w:bdr w:val="none" w:sz="0" w:space="0" w:color="auto" w:frame="1"/>
        </w:rPr>
        <w:t xml:space="preserve"> produces software for exchanges worldwide. It is the leading provider of software to the European commodity trading community. </w:t>
      </w:r>
      <w:proofErr w:type="spellStart"/>
      <w:r w:rsidRPr="00D756EB">
        <w:rPr>
          <w:rFonts w:ascii="Tahoma" w:hAnsi="Tahoma" w:cs="Times New Roman"/>
          <w:color w:val="4D4D4F"/>
          <w:sz w:val="22"/>
          <w:szCs w:val="18"/>
          <w:bdr w:val="none" w:sz="0" w:space="0" w:color="auto" w:frame="1"/>
        </w:rPr>
        <w:t>Trayport</w:t>
      </w:r>
      <w:proofErr w:type="spellEnd"/>
      <w:r w:rsidRPr="00D756EB">
        <w:rPr>
          <w:rFonts w:ascii="Tahoma" w:hAnsi="Tahoma" w:cs="Times New Roman"/>
          <w:color w:val="4D4D4F"/>
          <w:sz w:val="22"/>
          <w:szCs w:val="18"/>
          <w:bdr w:val="none" w:sz="0" w:space="0" w:color="auto" w:frame="1"/>
        </w:rPr>
        <w:t xml:space="preserve"> develops, deploys and supports quality, resilient software for trading in any asset class worldwide in cleared or OTC markets. </w:t>
      </w:r>
      <w:proofErr w:type="gramStart"/>
      <w:r w:rsidRPr="00D756EB">
        <w:rPr>
          <w:rFonts w:ascii="Tahoma" w:hAnsi="Tahoma" w:cs="Times New Roman"/>
          <w:color w:val="4D4D4F"/>
          <w:sz w:val="22"/>
          <w:szCs w:val="18"/>
          <w:bdr w:val="none" w:sz="0" w:space="0" w:color="auto" w:frame="1"/>
        </w:rPr>
        <w:t xml:space="preserve">Its </w:t>
      </w:r>
      <w:proofErr w:type="spellStart"/>
      <w:r w:rsidRPr="00D756EB">
        <w:rPr>
          <w:rFonts w:ascii="Tahoma" w:hAnsi="Tahoma" w:cs="Times New Roman"/>
          <w:color w:val="4D4D4F"/>
          <w:sz w:val="22"/>
          <w:szCs w:val="18"/>
          <w:bdr w:val="none" w:sz="0" w:space="0" w:color="auto" w:frame="1"/>
        </w:rPr>
        <w:t>GlobalVisionSM</w:t>
      </w:r>
      <w:proofErr w:type="spellEnd"/>
      <w:r w:rsidRPr="00D756EB">
        <w:rPr>
          <w:rFonts w:ascii="Tahoma" w:hAnsi="Tahoma" w:cs="Times New Roman"/>
          <w:color w:val="4D4D4F"/>
          <w:sz w:val="22"/>
          <w:szCs w:val="18"/>
          <w:bdr w:val="none" w:sz="0" w:space="0" w:color="auto" w:frame="1"/>
        </w:rPr>
        <w:t xml:space="preserve"> software is used by the world’s largest trading companies in high profile markets that include derivative and cash instruments</w:t>
      </w:r>
      <w:proofErr w:type="gramEnd"/>
      <w:r w:rsidRPr="00D756EB">
        <w:rPr>
          <w:rFonts w:ascii="Tahoma" w:hAnsi="Tahoma" w:cs="Times New Roman"/>
          <w:color w:val="4D4D4F"/>
          <w:sz w:val="22"/>
          <w:szCs w:val="18"/>
          <w:bdr w:val="none" w:sz="0" w:space="0" w:color="auto" w:frame="1"/>
        </w:rPr>
        <w:t xml:space="preserve">. Founded in 1993, </w:t>
      </w:r>
      <w:proofErr w:type="spellStart"/>
      <w:r w:rsidRPr="00D756EB">
        <w:rPr>
          <w:rFonts w:ascii="Tahoma" w:hAnsi="Tahoma" w:cs="Times New Roman"/>
          <w:color w:val="4D4D4F"/>
          <w:sz w:val="22"/>
          <w:szCs w:val="18"/>
          <w:bdr w:val="none" w:sz="0" w:space="0" w:color="auto" w:frame="1"/>
        </w:rPr>
        <w:t>Trayport</w:t>
      </w:r>
      <w:proofErr w:type="spellEnd"/>
      <w:r w:rsidRPr="00D756EB">
        <w:rPr>
          <w:rFonts w:ascii="Tahoma" w:hAnsi="Tahoma" w:cs="Times New Roman"/>
          <w:color w:val="4D4D4F"/>
          <w:sz w:val="22"/>
          <w:szCs w:val="18"/>
          <w:bdr w:val="none" w:sz="0" w:space="0" w:color="auto" w:frame="1"/>
        </w:rPr>
        <w:t xml:space="preserve"> has offices in London, New York and Hong Kong. </w:t>
      </w:r>
      <w:proofErr w:type="spellStart"/>
      <w:r w:rsidRPr="00D756EB">
        <w:rPr>
          <w:rFonts w:ascii="Tahoma" w:hAnsi="Tahoma" w:cs="Times New Roman"/>
          <w:color w:val="4D4D4F"/>
          <w:sz w:val="22"/>
          <w:szCs w:val="18"/>
          <w:bdr w:val="none" w:sz="0" w:space="0" w:color="auto" w:frame="1"/>
        </w:rPr>
        <w:t>Trayport</w:t>
      </w:r>
      <w:proofErr w:type="spellEnd"/>
      <w:r w:rsidRPr="00D756EB">
        <w:rPr>
          <w:rFonts w:ascii="Tahoma" w:hAnsi="Tahoma" w:cs="Times New Roman"/>
          <w:color w:val="4D4D4F"/>
          <w:sz w:val="22"/>
          <w:szCs w:val="18"/>
          <w:bdr w:val="none" w:sz="0" w:space="0" w:color="auto" w:frame="1"/>
        </w:rPr>
        <w:t xml:space="preserve"> is a subsidiary of GFI Group Inc. </w:t>
      </w:r>
      <w:proofErr w:type="gramStart"/>
      <w:r w:rsidRPr="00D756EB">
        <w:rPr>
          <w:rFonts w:ascii="Tahoma" w:hAnsi="Tahoma" w:cs="Times New Roman"/>
          <w:color w:val="4D4D4F"/>
          <w:sz w:val="22"/>
          <w:szCs w:val="18"/>
          <w:bdr w:val="none" w:sz="0" w:space="0" w:color="auto" w:frame="1"/>
        </w:rPr>
        <w:t>('GFIG' on NYSE).</w:t>
      </w:r>
      <w:proofErr w:type="gramEnd"/>
      <w:r w:rsidRPr="00D756EB">
        <w:rPr>
          <w:rFonts w:ascii="Tahoma" w:hAnsi="Tahoma" w:cs="Times New Roman"/>
          <w:color w:val="4D4D4F"/>
          <w:sz w:val="22"/>
          <w:szCs w:val="18"/>
          <w:bdr w:val="none" w:sz="0" w:space="0" w:color="auto" w:frame="1"/>
        </w:rPr>
        <w:t xml:space="preserve"> More information is available at </w:t>
      </w:r>
      <w:hyperlink r:id="rId5" w:history="1">
        <w:r w:rsidRPr="00D756EB">
          <w:rPr>
            <w:rFonts w:ascii="Tahoma" w:hAnsi="Tahoma" w:cs="Times New Roman"/>
            <w:color w:val="CC6600"/>
            <w:sz w:val="22"/>
            <w:u w:val="single"/>
          </w:rPr>
          <w:t>www.trayport.com</w:t>
        </w:r>
      </w:hyperlink>
      <w:r w:rsidRPr="00D756EB">
        <w:rPr>
          <w:rFonts w:ascii="Tahoma" w:hAnsi="Tahoma" w:cs="Times New Roman"/>
          <w:color w:val="4D4D4F"/>
          <w:sz w:val="22"/>
          <w:szCs w:val="18"/>
          <w:bdr w:val="none" w:sz="0" w:space="0" w:color="auto" w:frame="1"/>
        </w:rPr>
        <w:t>.</w:t>
      </w:r>
    </w:p>
    <w:p w:rsidR="00D756EB" w:rsidRPr="00D756EB" w:rsidRDefault="00D756EB" w:rsidP="00D756EB">
      <w:pPr>
        <w:spacing w:after="0" w:line="256" w:lineRule="atLeast"/>
        <w:textAlignment w:val="baseline"/>
        <w:rPr>
          <w:rFonts w:ascii="Tahoma" w:hAnsi="Tahoma" w:cs="Times New Roman"/>
          <w:b/>
          <w:color w:val="003B71"/>
          <w:sz w:val="22"/>
        </w:rPr>
      </w:pPr>
    </w:p>
    <w:p w:rsidR="00D756EB" w:rsidRPr="00D756EB" w:rsidRDefault="00D756EB" w:rsidP="00D756EB">
      <w:pPr>
        <w:spacing w:after="0" w:line="256" w:lineRule="atLeast"/>
        <w:textAlignment w:val="baseline"/>
        <w:rPr>
          <w:rFonts w:ascii="Tahoma" w:hAnsi="Tahoma" w:cs="Times New Roman"/>
          <w:color w:val="4D4D4F"/>
          <w:sz w:val="22"/>
          <w:szCs w:val="18"/>
          <w:bdr w:val="none" w:sz="0" w:space="0" w:color="auto" w:frame="1"/>
        </w:rPr>
      </w:pPr>
      <w:r w:rsidRPr="00D756EB">
        <w:rPr>
          <w:rFonts w:ascii="Tahoma" w:hAnsi="Tahoma" w:cs="Times New Roman"/>
          <w:b/>
          <w:color w:val="003B71"/>
          <w:sz w:val="22"/>
        </w:rPr>
        <w:t>Forward-looking statement </w:t>
      </w:r>
      <w:r w:rsidRPr="00D756EB">
        <w:rPr>
          <w:rFonts w:ascii="Tahoma" w:hAnsi="Tahoma" w:cs="Times New Roman"/>
          <w:color w:val="4D4D4F"/>
          <w:sz w:val="22"/>
          <w:szCs w:val="18"/>
          <w:bdr w:val="none" w:sz="0" w:space="0" w:color="auto" w:frame="1"/>
        </w:rPr>
        <w:br/>
      </w:r>
      <w:r w:rsidRPr="00D756EB">
        <w:rPr>
          <w:rFonts w:ascii="Tahoma" w:hAnsi="Tahoma" w:cs="Times New Roman"/>
          <w:i/>
          <w:color w:val="4D4D4F"/>
          <w:sz w:val="22"/>
          <w:szCs w:val="29"/>
          <w:bdr w:val="none" w:sz="0" w:space="0" w:color="auto" w:frame="1"/>
        </w:rPr>
        <w:t>Certain matters discussed in this press release contain forward-looking statements within the meaning of the Private Securities Litigation Reform Act of 1995. When used in this press release, the words "anticipate," "believe," "estimate," "may," "might," "intend," "expect" and similar expressions identify such forward-looking statements. Actual results, performance or achievements could differ materially from those contemplated, expressed or implied by the forward-looking statements contained herein. These forward-looking statements are based largely on the expectations of GFI Group Inc. (</w:t>
      </w:r>
      <w:proofErr w:type="gramStart"/>
      <w:r w:rsidRPr="00D756EB">
        <w:rPr>
          <w:rFonts w:ascii="Tahoma" w:hAnsi="Tahoma" w:cs="Times New Roman"/>
          <w:i/>
          <w:color w:val="4D4D4F"/>
          <w:sz w:val="22"/>
          <w:szCs w:val="29"/>
          <w:bdr w:val="none" w:sz="0" w:space="0" w:color="auto" w:frame="1"/>
        </w:rPr>
        <w:t>the</w:t>
      </w:r>
      <w:proofErr w:type="gramEnd"/>
      <w:r w:rsidRPr="00D756EB">
        <w:rPr>
          <w:rFonts w:ascii="Tahoma" w:hAnsi="Tahoma" w:cs="Times New Roman"/>
          <w:i/>
          <w:color w:val="4D4D4F"/>
          <w:sz w:val="22"/>
          <w:szCs w:val="29"/>
          <w:bdr w:val="none" w:sz="0" w:space="0" w:color="auto" w:frame="1"/>
        </w:rPr>
        <w:t xml:space="preserve"> “Company”) and are subject to a number of risks and uncertainties. These include, but are not limited to, risks and uncertainties associated with: economic, political and market factors affecting trading volumes; securities prices or demand for the Company’s brokerage services; competition from current and new competitors; the Company’s ability to attract and retain key personnel, including highly-qualified brokerage personnel; the Company’s ability to identify and develop new products and markets; changes in laws and regulations governing the Company’s business and operations or permissible activities; the Company’s ability to manage its international operations; financial difficulties experienced by the Company’s customers or key participants in the markets in which the Company focuses its brokerage services; the Company’s ability to keep up with technological changes; uncertainties relating to litigation and the Company’s ability to assess and integrate acquisition prospects. Further information about factors that could affect the Company’s financial and other results is included in the Company’s filings with the Securities and Exchange Commission. The Company does not undertake to publicly update or revise any forward-looking statements, whether as a result of new information, future events or otherwise.</w:t>
      </w:r>
    </w:p>
    <w:p w:rsidR="00EE3EA7" w:rsidRPr="00D756EB" w:rsidRDefault="009F6377" w:rsidP="00D756EB">
      <w:pPr>
        <w:rPr>
          <w:sz w:val="22"/>
        </w:rPr>
      </w:pPr>
    </w:p>
    <w:sectPr w:rsidR="00EE3EA7" w:rsidRPr="00D756EB" w:rsidSect="00C714A3">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756EB"/>
    <w:rsid w:val="001A657F"/>
    <w:rsid w:val="00211E26"/>
    <w:rsid w:val="004C12D3"/>
    <w:rsid w:val="00525F2C"/>
    <w:rsid w:val="009F6377"/>
    <w:rsid w:val="00D756EB"/>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A7"/>
    <w:rPr>
      <w:lang w:val="en-GB"/>
    </w:rPr>
  </w:style>
  <w:style w:type="paragraph" w:styleId="Heading1">
    <w:name w:val="heading 1"/>
    <w:basedOn w:val="Normal"/>
    <w:link w:val="Heading1Char"/>
    <w:uiPriority w:val="9"/>
    <w:rsid w:val="00D756EB"/>
    <w:pPr>
      <w:spacing w:beforeLines="1" w:afterLines="1"/>
      <w:outlineLvl w:val="0"/>
    </w:pPr>
    <w:rPr>
      <w:rFonts w:ascii="Times" w:hAnsi="Times"/>
      <w:b/>
      <w:kern w:val="36"/>
      <w:sz w:val="48"/>
      <w:szCs w:val="20"/>
    </w:rPr>
  </w:style>
  <w:style w:type="paragraph" w:styleId="Heading4">
    <w:name w:val="heading 4"/>
    <w:basedOn w:val="Normal"/>
    <w:link w:val="Heading4Char"/>
    <w:uiPriority w:val="9"/>
    <w:rsid w:val="00D756EB"/>
    <w:pPr>
      <w:spacing w:beforeLines="1" w:afterLines="1"/>
      <w:outlineLvl w:val="3"/>
    </w:pPr>
    <w:rPr>
      <w:rFonts w:ascii="Times" w:hAnsi="Times"/>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756EB"/>
    <w:rPr>
      <w:rFonts w:ascii="Times" w:hAnsi="Times"/>
      <w:b/>
      <w:kern w:val="36"/>
      <w:sz w:val="48"/>
      <w:szCs w:val="20"/>
      <w:lang w:val="en-GB"/>
    </w:rPr>
  </w:style>
  <w:style w:type="character" w:customStyle="1" w:styleId="Heading4Char">
    <w:name w:val="Heading 4 Char"/>
    <w:basedOn w:val="DefaultParagraphFont"/>
    <w:link w:val="Heading4"/>
    <w:uiPriority w:val="9"/>
    <w:rsid w:val="00D756EB"/>
    <w:rPr>
      <w:rFonts w:ascii="Times" w:hAnsi="Times"/>
      <w:b/>
      <w:szCs w:val="20"/>
      <w:lang w:val="en-GB"/>
    </w:rPr>
  </w:style>
  <w:style w:type="character" w:styleId="Hyperlink">
    <w:name w:val="Hyperlink"/>
    <w:basedOn w:val="DefaultParagraphFont"/>
    <w:uiPriority w:val="99"/>
    <w:rsid w:val="00D756EB"/>
    <w:rPr>
      <w:color w:val="0000FF"/>
      <w:u w:val="single"/>
    </w:rPr>
  </w:style>
  <w:style w:type="paragraph" w:styleId="NormalWeb">
    <w:name w:val="Normal (Web)"/>
    <w:basedOn w:val="Normal"/>
    <w:uiPriority w:val="99"/>
    <w:rsid w:val="00D756EB"/>
    <w:pPr>
      <w:spacing w:beforeLines="1" w:afterLines="1"/>
    </w:pPr>
    <w:rPr>
      <w:rFonts w:ascii="Times" w:hAnsi="Times" w:cs="Times New Roman"/>
      <w:sz w:val="20"/>
      <w:szCs w:val="20"/>
    </w:rPr>
  </w:style>
  <w:style w:type="character" w:styleId="Strong">
    <w:name w:val="Strong"/>
    <w:basedOn w:val="DefaultParagraphFont"/>
    <w:uiPriority w:val="22"/>
    <w:rsid w:val="00D756EB"/>
    <w:rPr>
      <w:b/>
    </w:rPr>
  </w:style>
  <w:style w:type="character" w:customStyle="1" w:styleId="apple-style-span">
    <w:name w:val="apple-style-span"/>
    <w:basedOn w:val="DefaultParagraphFont"/>
    <w:rsid w:val="00D756EB"/>
  </w:style>
</w:styles>
</file>

<file path=word/webSettings.xml><?xml version="1.0" encoding="utf-8"?>
<w:webSettings xmlns:r="http://schemas.openxmlformats.org/officeDocument/2006/relationships" xmlns:w="http://schemas.openxmlformats.org/wordprocessingml/2006/main">
  <w:divs>
    <w:div w:id="19116928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merexenergy.com/" TargetMode="External"/><Relationship Id="rId5" Type="http://schemas.openxmlformats.org/officeDocument/2006/relationships/hyperlink" Target="http://www.trayport.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982</Words>
  <Characters>5599</Characters>
  <Application>Microsoft Word 12.0.0</Application>
  <DocSecurity>0</DocSecurity>
  <Lines>46</Lines>
  <Paragraphs>11</Paragraphs>
  <ScaleCrop>false</ScaleCrop>
  <Company>Dinos Company</Company>
  <LinksUpToDate>false</LinksUpToDate>
  <CharactersWithSpaces>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Dino</dc:creator>
  <cp:keywords/>
  <cp:lastModifiedBy>Dino Dino</cp:lastModifiedBy>
  <cp:revision>4</cp:revision>
  <dcterms:created xsi:type="dcterms:W3CDTF">2015-10-07T22:24:00Z</dcterms:created>
  <dcterms:modified xsi:type="dcterms:W3CDTF">2016-10-07T12:01:00Z</dcterms:modified>
</cp:coreProperties>
</file>